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0A1A2" w14:textId="77777777" w:rsidR="003443C1" w:rsidRDefault="003443C1" w:rsidP="003443C1">
      <w:pPr>
        <w:rPr>
          <w:rFonts w:cstheme="minorHAnsi"/>
          <w:b/>
          <w:i/>
          <w:sz w:val="28"/>
          <w:szCs w:val="28"/>
        </w:rPr>
      </w:pPr>
      <w:bookmarkStart w:id="0" w:name="_GoBack"/>
      <w:bookmarkEnd w:id="0"/>
      <w:r>
        <w:rPr>
          <w:noProof/>
        </w:rPr>
        <w:drawing>
          <wp:anchor distT="0" distB="0" distL="114300" distR="114300" simplePos="0" relativeHeight="251659264" behindDoc="0" locked="0" layoutInCell="1" allowOverlap="1" wp14:anchorId="13242766" wp14:editId="7A2A00AD">
            <wp:simplePos x="0" y="0"/>
            <wp:positionH relativeFrom="column">
              <wp:posOffset>-164317</wp:posOffset>
            </wp:positionH>
            <wp:positionV relativeFrom="paragraph">
              <wp:posOffset>0</wp:posOffset>
            </wp:positionV>
            <wp:extent cx="1528763" cy="1528763"/>
            <wp:effectExtent l="0" t="0" r="0" b="0"/>
            <wp:wrapSquare wrapText="bothSides"/>
            <wp:docPr id="2" name="Picture 2" descr="C:\Users\sdros\AppData\Local\Microsoft\Windows\INetCache\Content.Word\HomeForA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ros\AppData\Local\Microsoft\Windows\INetCache\Content.Word\HomeForAl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763" cy="1528763"/>
                    </a:xfrm>
                    <a:prstGeom prst="rect">
                      <a:avLst/>
                    </a:prstGeom>
                    <a:noFill/>
                    <a:ln>
                      <a:noFill/>
                    </a:ln>
                  </pic:spPr>
                </pic:pic>
              </a:graphicData>
            </a:graphic>
          </wp:anchor>
        </w:drawing>
      </w:r>
    </w:p>
    <w:p w14:paraId="5B8593CC" w14:textId="5FB49701" w:rsidR="003443C1" w:rsidRPr="00751D1B" w:rsidRDefault="00D03BB5" w:rsidP="003443C1">
      <w:pPr>
        <w:spacing w:after="0"/>
        <w:jc w:val="right"/>
        <w:rPr>
          <w:b/>
          <w:i/>
          <w:sz w:val="24"/>
          <w:szCs w:val="24"/>
          <w:highlight w:val="yellow"/>
        </w:rPr>
      </w:pPr>
      <w:r w:rsidRPr="00751D1B">
        <w:rPr>
          <w:b/>
          <w:i/>
          <w:sz w:val="24"/>
          <w:szCs w:val="24"/>
        </w:rPr>
        <w:t>HOME FOR ALL COMMUNITY CONVENING</w:t>
      </w:r>
    </w:p>
    <w:p w14:paraId="1DAE2CA4" w14:textId="77777777" w:rsidR="00751D1B" w:rsidRPr="00751D1B" w:rsidRDefault="00E45C85" w:rsidP="00751D1B">
      <w:pPr>
        <w:spacing w:after="0"/>
        <w:jc w:val="right"/>
        <w:rPr>
          <w:b/>
          <w:i/>
          <w:sz w:val="24"/>
          <w:szCs w:val="24"/>
        </w:rPr>
      </w:pPr>
      <w:r w:rsidRPr="00751D1B">
        <w:rPr>
          <w:b/>
          <w:i/>
          <w:sz w:val="24"/>
          <w:szCs w:val="24"/>
        </w:rPr>
        <w:t xml:space="preserve"> </w:t>
      </w:r>
      <w:r w:rsidR="00751D1B" w:rsidRPr="00751D1B">
        <w:rPr>
          <w:b/>
          <w:i/>
          <w:sz w:val="24"/>
          <w:szCs w:val="24"/>
        </w:rPr>
        <w:t>DEVELOPING NEIGHBORHOOD SUPPORT FOR NEW HOUSING:</w:t>
      </w:r>
    </w:p>
    <w:p w14:paraId="16E97048" w14:textId="45651673" w:rsidR="003443C1" w:rsidRPr="00751D1B" w:rsidRDefault="00751D1B" w:rsidP="00751D1B">
      <w:pPr>
        <w:spacing w:after="0"/>
        <w:jc w:val="right"/>
        <w:rPr>
          <w:b/>
          <w:i/>
          <w:sz w:val="24"/>
          <w:szCs w:val="24"/>
        </w:rPr>
      </w:pPr>
      <w:r w:rsidRPr="00E95880">
        <w:rPr>
          <w:b/>
          <w:i/>
          <w:sz w:val="24"/>
          <w:szCs w:val="24"/>
        </w:rPr>
        <w:t>INSIGHTS FOR ADDRESSING PARKING &amp; CONGESTION CONCERNS</w:t>
      </w:r>
      <w:r>
        <w:rPr>
          <w:b/>
          <w:i/>
          <w:sz w:val="24"/>
          <w:szCs w:val="24"/>
        </w:rPr>
        <w:t xml:space="preserve"> </w:t>
      </w:r>
    </w:p>
    <w:p w14:paraId="14853D4C" w14:textId="2AC55B87" w:rsidR="001C2D60" w:rsidRPr="00035E88" w:rsidRDefault="005B2583" w:rsidP="003443C1">
      <w:pPr>
        <w:ind w:left="6480"/>
        <w:jc w:val="center"/>
        <w:rPr>
          <w:rFonts w:cstheme="minorHAnsi"/>
          <w:b/>
          <w:i/>
          <w:sz w:val="28"/>
          <w:szCs w:val="28"/>
        </w:rPr>
      </w:pPr>
      <w:r>
        <w:rPr>
          <w:rFonts w:cstheme="minorHAnsi"/>
          <w:b/>
          <w:i/>
          <w:sz w:val="28"/>
          <w:szCs w:val="28"/>
        </w:rPr>
        <w:t xml:space="preserve">                               Toolkits</w:t>
      </w:r>
    </w:p>
    <w:p w14:paraId="7B600CEC" w14:textId="77777777" w:rsidR="00931FDE" w:rsidRDefault="00931FDE" w:rsidP="00FF1796">
      <w:pPr>
        <w:widowControl w:val="0"/>
        <w:autoSpaceDE w:val="0"/>
        <w:autoSpaceDN w:val="0"/>
        <w:adjustRightInd w:val="0"/>
        <w:spacing w:after="0" w:line="240" w:lineRule="auto"/>
        <w:jc w:val="both"/>
        <w:rPr>
          <w:rFonts w:cstheme="minorHAnsi"/>
          <w:b/>
          <w:i/>
          <w:sz w:val="24"/>
          <w:szCs w:val="24"/>
        </w:rPr>
      </w:pPr>
    </w:p>
    <w:p w14:paraId="61AFB10D" w14:textId="2C2817D7" w:rsidR="00FC6A11" w:rsidRDefault="00FC6A11" w:rsidP="00F15AA7">
      <w:pPr>
        <w:pStyle w:val="NormalWeb"/>
        <w:shd w:val="clear" w:color="auto" w:fill="FFFFFF"/>
        <w:spacing w:before="0" w:beforeAutospacing="0" w:after="0" w:afterAutospacing="0"/>
        <w:jc w:val="both"/>
        <w:textAlignment w:val="baseline"/>
        <w:rPr>
          <w:rFonts w:asciiTheme="minorHAnsi" w:hAnsiTheme="minorHAnsi" w:cstheme="minorHAnsi"/>
        </w:rPr>
      </w:pPr>
    </w:p>
    <w:p w14:paraId="4839C4DE" w14:textId="77777777" w:rsidR="002304B1" w:rsidRDefault="002304B1" w:rsidP="002304B1">
      <w:pPr>
        <w:rPr>
          <w:rFonts w:cstheme="minorHAnsi"/>
          <w:b/>
          <w:sz w:val="24"/>
          <w:szCs w:val="24"/>
          <w:u w:val="single"/>
        </w:rPr>
      </w:pPr>
    </w:p>
    <w:p w14:paraId="4DF030A9" w14:textId="763AC8E4" w:rsidR="002304B1" w:rsidRPr="002304B1" w:rsidRDefault="002304B1" w:rsidP="002304B1">
      <w:pPr>
        <w:rPr>
          <w:rFonts w:cstheme="minorHAnsi"/>
          <w:b/>
          <w:sz w:val="24"/>
          <w:szCs w:val="24"/>
          <w:u w:val="single"/>
        </w:rPr>
      </w:pPr>
      <w:r w:rsidRPr="002304B1">
        <w:rPr>
          <w:rFonts w:cstheme="minorHAnsi"/>
          <w:b/>
          <w:sz w:val="24"/>
          <w:szCs w:val="24"/>
          <w:u w:val="single"/>
        </w:rPr>
        <w:t>Housing and Mobility Toolkit Summary</w:t>
      </w:r>
    </w:p>
    <w:p w14:paraId="128793B9" w14:textId="77777777" w:rsidR="002304B1" w:rsidRPr="002304B1" w:rsidRDefault="002304B1" w:rsidP="002304B1">
      <w:pPr>
        <w:rPr>
          <w:rFonts w:cstheme="minorHAnsi"/>
          <w:color w:val="1155CC"/>
          <w:sz w:val="24"/>
          <w:szCs w:val="24"/>
          <w:u w:val="single"/>
          <w:shd w:val="clear" w:color="auto" w:fill="FFFFFF"/>
        </w:rPr>
      </w:pPr>
      <w:r w:rsidRPr="002304B1">
        <w:rPr>
          <w:rFonts w:cstheme="minorHAnsi"/>
          <w:sz w:val="24"/>
          <w:szCs w:val="24"/>
        </w:rPr>
        <w:t xml:space="preserve">When new housing is proposed, parking and traffic congestion are common local concerns. Communities around the Bay Area are exploring new approaches to alleviating these issues, including building new housing to bring people closer to their jobs. For this toolkit, Home for All partnered with Mineta Transportation Institute to showcase examples of successful, innovative housing and neighborhood mobility strategies that are applicable to San Mateo County. The Toolkit includes 13 case studies from cities in San Mateo County, the Bay Area and beyond. Topics within the Housing and Mobility Toolkit include Transportation Impact Analysis and the shift from Level of Service to Vehicle Miles Traveled, Transportation Demand Management, Transit Oriented Development, and Community Planning Processes. The Toolkit can found here: </w:t>
      </w:r>
      <w:hyperlink r:id="rId6" w:history="1">
        <w:r w:rsidRPr="002304B1">
          <w:rPr>
            <w:rStyle w:val="Hyperlink"/>
            <w:rFonts w:cstheme="minorHAnsi"/>
            <w:sz w:val="24"/>
            <w:szCs w:val="24"/>
          </w:rPr>
          <w:t>https://homeforallsmc.org/housing-mobility-toolkit/</w:t>
        </w:r>
      </w:hyperlink>
      <w:r w:rsidRPr="002304B1">
        <w:rPr>
          <w:rFonts w:cstheme="minorHAnsi"/>
          <w:sz w:val="24"/>
          <w:szCs w:val="24"/>
        </w:rPr>
        <w:t xml:space="preserve">  The full case studies are also available to you at </w:t>
      </w:r>
      <w:hyperlink r:id="rId7" w:tgtFrame="_blank" w:history="1">
        <w:r w:rsidRPr="002304B1">
          <w:rPr>
            <w:rFonts w:cstheme="minorHAnsi"/>
            <w:color w:val="1155CC"/>
            <w:sz w:val="24"/>
            <w:szCs w:val="24"/>
            <w:u w:val="single"/>
            <w:shd w:val="clear" w:color="auto" w:fill="FFFFFF"/>
          </w:rPr>
          <w:t>https://transweb.sjsu.edu/sites/default/files/1898-San-Mateo-County-Housing-Mobility-Toolkit.pdf</w:t>
        </w:r>
      </w:hyperlink>
    </w:p>
    <w:p w14:paraId="25A25D9A" w14:textId="77777777" w:rsidR="002304B1" w:rsidRDefault="002304B1" w:rsidP="00544247">
      <w:pPr>
        <w:rPr>
          <w:rFonts w:cstheme="minorHAnsi"/>
          <w:b/>
          <w:sz w:val="24"/>
          <w:szCs w:val="24"/>
          <w:u w:val="single"/>
        </w:rPr>
      </w:pPr>
    </w:p>
    <w:p w14:paraId="1A509148" w14:textId="77777777" w:rsidR="002304B1" w:rsidRDefault="002304B1" w:rsidP="00544247">
      <w:pPr>
        <w:rPr>
          <w:rFonts w:cstheme="minorHAnsi"/>
          <w:b/>
          <w:sz w:val="24"/>
          <w:szCs w:val="24"/>
          <w:u w:val="single"/>
        </w:rPr>
      </w:pPr>
    </w:p>
    <w:p w14:paraId="6371FA46" w14:textId="43539179" w:rsidR="00544247" w:rsidRPr="002304B1" w:rsidRDefault="00544247" w:rsidP="00544247">
      <w:pPr>
        <w:rPr>
          <w:rFonts w:cstheme="minorHAnsi"/>
          <w:b/>
          <w:sz w:val="24"/>
          <w:szCs w:val="24"/>
          <w:u w:val="single"/>
        </w:rPr>
      </w:pPr>
      <w:r w:rsidRPr="002304B1">
        <w:rPr>
          <w:rFonts w:cstheme="minorHAnsi"/>
          <w:b/>
          <w:sz w:val="24"/>
          <w:szCs w:val="24"/>
          <w:u w:val="single"/>
        </w:rPr>
        <w:t>Gran</w:t>
      </w:r>
      <w:r w:rsidR="002304B1">
        <w:rPr>
          <w:rFonts w:cstheme="minorHAnsi"/>
          <w:b/>
          <w:sz w:val="24"/>
          <w:szCs w:val="24"/>
          <w:u w:val="single"/>
        </w:rPr>
        <w:t>d</w:t>
      </w:r>
      <w:r w:rsidRPr="002304B1">
        <w:rPr>
          <w:rFonts w:cstheme="minorHAnsi"/>
          <w:b/>
          <w:sz w:val="24"/>
          <w:szCs w:val="24"/>
          <w:u w:val="single"/>
        </w:rPr>
        <w:t xml:space="preserve"> Boulevard Initiative Transportation Demand Management (TDM) Toolkit</w:t>
      </w:r>
    </w:p>
    <w:p w14:paraId="269B357C" w14:textId="2B5F98A9" w:rsidR="00544247" w:rsidRPr="002304B1" w:rsidRDefault="00544247" w:rsidP="00544247">
      <w:pPr>
        <w:pStyle w:val="NormalWeb"/>
        <w:shd w:val="clear" w:color="auto" w:fill="FFFFFF"/>
        <w:spacing w:before="0" w:beforeAutospacing="0" w:after="0" w:afterAutospacing="0"/>
        <w:jc w:val="both"/>
        <w:textAlignment w:val="baseline"/>
        <w:rPr>
          <w:rFonts w:asciiTheme="minorHAnsi" w:eastAsiaTheme="minorHAnsi" w:hAnsiTheme="minorHAnsi" w:cstheme="minorHAnsi"/>
          <w:color w:val="000000"/>
          <w:shd w:val="clear" w:color="auto" w:fill="FFFFFF"/>
        </w:rPr>
      </w:pPr>
      <w:r w:rsidRPr="002304B1">
        <w:rPr>
          <w:rFonts w:asciiTheme="minorHAnsi" w:eastAsiaTheme="minorHAnsi" w:hAnsiTheme="minorHAnsi" w:cstheme="minorHAnsi"/>
          <w:color w:val="000000"/>
          <w:shd w:val="clear" w:color="auto" w:fill="FFFFFF"/>
        </w:rPr>
        <w:t>The Grand Boulevard Initiative Transportation Demand Management (TDM) Toolkit is part of an ongoing GBI effort to provide more information on best practices in use within the El Camino Real corridor, Bay Area, and beyond. TDM is the study of how people get around and what behavior change strategies encourage more people to take transit, rideshare, walk, bike, etc. The case studies demonstrate best practices and innovative approaches to TDM implementation. The case studies fall into four categories: Transportation Impact Analysis and TDM, neighborhood-level TDM approaches, integrating TDM into Specific Plans, and other unique TDM strategies. The toolkit is available at </w:t>
      </w:r>
      <w:hyperlink r:id="rId8" w:tgtFrame="_blank" w:history="1">
        <w:r w:rsidRPr="002304B1">
          <w:rPr>
            <w:rFonts w:asciiTheme="minorHAnsi" w:eastAsiaTheme="minorHAnsi" w:hAnsiTheme="minorHAnsi" w:cstheme="minorHAnsi"/>
            <w:color w:val="1155CC"/>
            <w:u w:val="single"/>
            <w:shd w:val="clear" w:color="auto" w:fill="FFFFFF"/>
          </w:rPr>
          <w:t>https://grandboulevard.net/toolkits/tdmtoolkit</w:t>
        </w:r>
      </w:hyperlink>
      <w:r w:rsidRPr="002304B1">
        <w:rPr>
          <w:rFonts w:asciiTheme="minorHAnsi" w:eastAsiaTheme="minorHAnsi" w:hAnsiTheme="minorHAnsi" w:cstheme="minorHAnsi"/>
          <w:color w:val="000000"/>
          <w:shd w:val="clear" w:color="auto" w:fill="FFFFFF"/>
        </w:rPr>
        <w:t> and will be updated regularly with new and innovative best practices.</w:t>
      </w:r>
    </w:p>
    <w:p w14:paraId="0D70513B" w14:textId="77777777" w:rsidR="00544247" w:rsidRPr="002304B1" w:rsidRDefault="00544247" w:rsidP="00544247">
      <w:pPr>
        <w:pStyle w:val="NormalWeb"/>
        <w:shd w:val="clear" w:color="auto" w:fill="FFFFFF"/>
        <w:spacing w:before="0" w:beforeAutospacing="0" w:after="0" w:afterAutospacing="0"/>
        <w:jc w:val="both"/>
        <w:textAlignment w:val="baseline"/>
        <w:rPr>
          <w:rFonts w:asciiTheme="minorHAnsi" w:hAnsiTheme="minorHAnsi" w:cstheme="minorHAnsi"/>
        </w:rPr>
      </w:pPr>
    </w:p>
    <w:sectPr w:rsidR="00544247" w:rsidRPr="0023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6371E"/>
    <w:multiLevelType w:val="multilevel"/>
    <w:tmpl w:val="5092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9C"/>
    <w:rsid w:val="000006C2"/>
    <w:rsid w:val="00000C10"/>
    <w:rsid w:val="00035E88"/>
    <w:rsid w:val="00056EAB"/>
    <w:rsid w:val="00057AEC"/>
    <w:rsid w:val="00064830"/>
    <w:rsid w:val="00066588"/>
    <w:rsid w:val="000857BF"/>
    <w:rsid w:val="000867F4"/>
    <w:rsid w:val="00094C5E"/>
    <w:rsid w:val="000C18AA"/>
    <w:rsid w:val="000F7806"/>
    <w:rsid w:val="001552A0"/>
    <w:rsid w:val="00171D9D"/>
    <w:rsid w:val="00185DE4"/>
    <w:rsid w:val="001A5BA6"/>
    <w:rsid w:val="001C2D60"/>
    <w:rsid w:val="002304B1"/>
    <w:rsid w:val="002472DE"/>
    <w:rsid w:val="003107F9"/>
    <w:rsid w:val="003253C9"/>
    <w:rsid w:val="00337D9B"/>
    <w:rsid w:val="003425FC"/>
    <w:rsid w:val="003443C1"/>
    <w:rsid w:val="00376323"/>
    <w:rsid w:val="003B58F2"/>
    <w:rsid w:val="003F09D5"/>
    <w:rsid w:val="00424592"/>
    <w:rsid w:val="004254CB"/>
    <w:rsid w:val="004928D5"/>
    <w:rsid w:val="00522927"/>
    <w:rsid w:val="005250F5"/>
    <w:rsid w:val="00532F5B"/>
    <w:rsid w:val="00542B82"/>
    <w:rsid w:val="00544247"/>
    <w:rsid w:val="005558A3"/>
    <w:rsid w:val="00556D2C"/>
    <w:rsid w:val="0058122F"/>
    <w:rsid w:val="005B2583"/>
    <w:rsid w:val="005D0303"/>
    <w:rsid w:val="005F79E0"/>
    <w:rsid w:val="006204B6"/>
    <w:rsid w:val="00641458"/>
    <w:rsid w:val="006578F9"/>
    <w:rsid w:val="00675BF0"/>
    <w:rsid w:val="00685E00"/>
    <w:rsid w:val="006962D2"/>
    <w:rsid w:val="006A2AD8"/>
    <w:rsid w:val="006C062F"/>
    <w:rsid w:val="006C56CB"/>
    <w:rsid w:val="006D0491"/>
    <w:rsid w:val="007233D4"/>
    <w:rsid w:val="00751D1B"/>
    <w:rsid w:val="00795041"/>
    <w:rsid w:val="007A4FD7"/>
    <w:rsid w:val="007D7D9B"/>
    <w:rsid w:val="00811B73"/>
    <w:rsid w:val="00817AF9"/>
    <w:rsid w:val="00820930"/>
    <w:rsid w:val="0087359B"/>
    <w:rsid w:val="00900230"/>
    <w:rsid w:val="00931FDE"/>
    <w:rsid w:val="0094366C"/>
    <w:rsid w:val="009715B7"/>
    <w:rsid w:val="009736C5"/>
    <w:rsid w:val="009D4048"/>
    <w:rsid w:val="00AB5FB1"/>
    <w:rsid w:val="00AC467F"/>
    <w:rsid w:val="00AC79DD"/>
    <w:rsid w:val="00AD305C"/>
    <w:rsid w:val="00AF6073"/>
    <w:rsid w:val="00B173ED"/>
    <w:rsid w:val="00B22BC0"/>
    <w:rsid w:val="00B56E16"/>
    <w:rsid w:val="00C104FA"/>
    <w:rsid w:val="00C50C6D"/>
    <w:rsid w:val="00CE0F72"/>
    <w:rsid w:val="00CF649C"/>
    <w:rsid w:val="00D03BB5"/>
    <w:rsid w:val="00D622DB"/>
    <w:rsid w:val="00D626B5"/>
    <w:rsid w:val="00D81AF6"/>
    <w:rsid w:val="00E42D5C"/>
    <w:rsid w:val="00E45C85"/>
    <w:rsid w:val="00EB6545"/>
    <w:rsid w:val="00ED16F0"/>
    <w:rsid w:val="00EF19C7"/>
    <w:rsid w:val="00EF6E5F"/>
    <w:rsid w:val="00F00B68"/>
    <w:rsid w:val="00F0470B"/>
    <w:rsid w:val="00F15AA7"/>
    <w:rsid w:val="00F432AA"/>
    <w:rsid w:val="00F74569"/>
    <w:rsid w:val="00F86EB5"/>
    <w:rsid w:val="00FA1E8F"/>
    <w:rsid w:val="00FC6A11"/>
    <w:rsid w:val="00FE5532"/>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AFAE"/>
  <w15:chartTrackingRefBased/>
  <w15:docId w15:val="{1AF147B7-7163-498C-8C2D-57FD0361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67F4"/>
    <w:rPr>
      <w:color w:val="0000FF"/>
      <w:u w:val="single"/>
    </w:rPr>
  </w:style>
  <w:style w:type="character" w:styleId="Emphasis">
    <w:name w:val="Emphasis"/>
    <w:basedOn w:val="DefaultParagraphFont"/>
    <w:uiPriority w:val="20"/>
    <w:qFormat/>
    <w:rsid w:val="000867F4"/>
    <w:rPr>
      <w:i/>
      <w:iCs/>
    </w:rPr>
  </w:style>
  <w:style w:type="paragraph" w:styleId="NormalWeb">
    <w:name w:val="Normal (Web)"/>
    <w:basedOn w:val="Normal"/>
    <w:uiPriority w:val="99"/>
    <w:unhideWhenUsed/>
    <w:rsid w:val="003F09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5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BF"/>
    <w:rPr>
      <w:rFonts w:ascii="Segoe UI" w:hAnsi="Segoe UI" w:cs="Segoe UI"/>
      <w:sz w:val="18"/>
      <w:szCs w:val="18"/>
    </w:rPr>
  </w:style>
  <w:style w:type="character" w:styleId="Strong">
    <w:name w:val="Strong"/>
    <w:basedOn w:val="DefaultParagraphFont"/>
    <w:uiPriority w:val="22"/>
    <w:qFormat/>
    <w:rsid w:val="00F15AA7"/>
    <w:rPr>
      <w:b/>
      <w:bCs/>
    </w:rPr>
  </w:style>
  <w:style w:type="paragraph" w:customStyle="1" w:styleId="bio">
    <w:name w:val="bio"/>
    <w:basedOn w:val="Normal"/>
    <w:rsid w:val="00931F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80893658574638162biotext">
    <w:name w:val="m_-3180893658574638162biotext"/>
    <w:basedOn w:val="Normal"/>
    <w:rsid w:val="00532F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57AE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513">
      <w:bodyDiv w:val="1"/>
      <w:marLeft w:val="0"/>
      <w:marRight w:val="0"/>
      <w:marTop w:val="0"/>
      <w:marBottom w:val="0"/>
      <w:divBdr>
        <w:top w:val="none" w:sz="0" w:space="0" w:color="auto"/>
        <w:left w:val="none" w:sz="0" w:space="0" w:color="auto"/>
        <w:bottom w:val="none" w:sz="0" w:space="0" w:color="auto"/>
        <w:right w:val="none" w:sz="0" w:space="0" w:color="auto"/>
      </w:divBdr>
    </w:div>
    <w:div w:id="243344326">
      <w:bodyDiv w:val="1"/>
      <w:marLeft w:val="0"/>
      <w:marRight w:val="0"/>
      <w:marTop w:val="0"/>
      <w:marBottom w:val="0"/>
      <w:divBdr>
        <w:top w:val="none" w:sz="0" w:space="0" w:color="auto"/>
        <w:left w:val="none" w:sz="0" w:space="0" w:color="auto"/>
        <w:bottom w:val="none" w:sz="0" w:space="0" w:color="auto"/>
        <w:right w:val="none" w:sz="0" w:space="0" w:color="auto"/>
      </w:divBdr>
    </w:div>
    <w:div w:id="415056056">
      <w:bodyDiv w:val="1"/>
      <w:marLeft w:val="0"/>
      <w:marRight w:val="0"/>
      <w:marTop w:val="0"/>
      <w:marBottom w:val="0"/>
      <w:divBdr>
        <w:top w:val="none" w:sz="0" w:space="0" w:color="auto"/>
        <w:left w:val="none" w:sz="0" w:space="0" w:color="auto"/>
        <w:bottom w:val="none" w:sz="0" w:space="0" w:color="auto"/>
        <w:right w:val="none" w:sz="0" w:space="0" w:color="auto"/>
      </w:divBdr>
    </w:div>
    <w:div w:id="475030853">
      <w:bodyDiv w:val="1"/>
      <w:marLeft w:val="0"/>
      <w:marRight w:val="0"/>
      <w:marTop w:val="0"/>
      <w:marBottom w:val="0"/>
      <w:divBdr>
        <w:top w:val="none" w:sz="0" w:space="0" w:color="auto"/>
        <w:left w:val="none" w:sz="0" w:space="0" w:color="auto"/>
        <w:bottom w:val="none" w:sz="0" w:space="0" w:color="auto"/>
        <w:right w:val="none" w:sz="0" w:space="0" w:color="auto"/>
      </w:divBdr>
      <w:divsChild>
        <w:div w:id="2136366471">
          <w:marLeft w:val="0"/>
          <w:marRight w:val="0"/>
          <w:marTop w:val="0"/>
          <w:marBottom w:val="0"/>
          <w:divBdr>
            <w:top w:val="none" w:sz="0" w:space="0" w:color="auto"/>
            <w:left w:val="none" w:sz="0" w:space="0" w:color="auto"/>
            <w:bottom w:val="none" w:sz="0" w:space="0" w:color="auto"/>
            <w:right w:val="none" w:sz="0" w:space="0" w:color="auto"/>
          </w:divBdr>
        </w:div>
        <w:div w:id="768627588">
          <w:marLeft w:val="0"/>
          <w:marRight w:val="0"/>
          <w:marTop w:val="0"/>
          <w:marBottom w:val="0"/>
          <w:divBdr>
            <w:top w:val="none" w:sz="0" w:space="0" w:color="auto"/>
            <w:left w:val="none" w:sz="0" w:space="0" w:color="auto"/>
            <w:bottom w:val="none" w:sz="0" w:space="0" w:color="auto"/>
            <w:right w:val="none" w:sz="0" w:space="0" w:color="auto"/>
          </w:divBdr>
        </w:div>
      </w:divsChild>
    </w:div>
    <w:div w:id="485632311">
      <w:bodyDiv w:val="1"/>
      <w:marLeft w:val="0"/>
      <w:marRight w:val="0"/>
      <w:marTop w:val="0"/>
      <w:marBottom w:val="0"/>
      <w:divBdr>
        <w:top w:val="none" w:sz="0" w:space="0" w:color="auto"/>
        <w:left w:val="none" w:sz="0" w:space="0" w:color="auto"/>
        <w:bottom w:val="none" w:sz="0" w:space="0" w:color="auto"/>
        <w:right w:val="none" w:sz="0" w:space="0" w:color="auto"/>
      </w:divBdr>
    </w:div>
    <w:div w:id="794787189">
      <w:bodyDiv w:val="1"/>
      <w:marLeft w:val="0"/>
      <w:marRight w:val="0"/>
      <w:marTop w:val="0"/>
      <w:marBottom w:val="0"/>
      <w:divBdr>
        <w:top w:val="none" w:sz="0" w:space="0" w:color="auto"/>
        <w:left w:val="none" w:sz="0" w:space="0" w:color="auto"/>
        <w:bottom w:val="none" w:sz="0" w:space="0" w:color="auto"/>
        <w:right w:val="none" w:sz="0" w:space="0" w:color="auto"/>
      </w:divBdr>
    </w:div>
    <w:div w:id="1102608189">
      <w:bodyDiv w:val="1"/>
      <w:marLeft w:val="0"/>
      <w:marRight w:val="0"/>
      <w:marTop w:val="0"/>
      <w:marBottom w:val="0"/>
      <w:divBdr>
        <w:top w:val="none" w:sz="0" w:space="0" w:color="auto"/>
        <w:left w:val="none" w:sz="0" w:space="0" w:color="auto"/>
        <w:bottom w:val="none" w:sz="0" w:space="0" w:color="auto"/>
        <w:right w:val="none" w:sz="0" w:space="0" w:color="auto"/>
      </w:divBdr>
    </w:div>
    <w:div w:id="1334185278">
      <w:bodyDiv w:val="1"/>
      <w:marLeft w:val="0"/>
      <w:marRight w:val="0"/>
      <w:marTop w:val="0"/>
      <w:marBottom w:val="0"/>
      <w:divBdr>
        <w:top w:val="none" w:sz="0" w:space="0" w:color="auto"/>
        <w:left w:val="none" w:sz="0" w:space="0" w:color="auto"/>
        <w:bottom w:val="none" w:sz="0" w:space="0" w:color="auto"/>
        <w:right w:val="none" w:sz="0" w:space="0" w:color="auto"/>
      </w:divBdr>
    </w:div>
    <w:div w:id="1489790096">
      <w:bodyDiv w:val="1"/>
      <w:marLeft w:val="0"/>
      <w:marRight w:val="0"/>
      <w:marTop w:val="0"/>
      <w:marBottom w:val="0"/>
      <w:divBdr>
        <w:top w:val="none" w:sz="0" w:space="0" w:color="auto"/>
        <w:left w:val="none" w:sz="0" w:space="0" w:color="auto"/>
        <w:bottom w:val="none" w:sz="0" w:space="0" w:color="auto"/>
        <w:right w:val="none" w:sz="0" w:space="0" w:color="auto"/>
      </w:divBdr>
    </w:div>
    <w:div w:id="1687558498">
      <w:bodyDiv w:val="1"/>
      <w:marLeft w:val="0"/>
      <w:marRight w:val="0"/>
      <w:marTop w:val="0"/>
      <w:marBottom w:val="0"/>
      <w:divBdr>
        <w:top w:val="none" w:sz="0" w:space="0" w:color="auto"/>
        <w:left w:val="none" w:sz="0" w:space="0" w:color="auto"/>
        <w:bottom w:val="none" w:sz="0" w:space="0" w:color="auto"/>
        <w:right w:val="none" w:sz="0" w:space="0" w:color="auto"/>
      </w:divBdr>
    </w:div>
    <w:div w:id="1692415817">
      <w:bodyDiv w:val="1"/>
      <w:marLeft w:val="0"/>
      <w:marRight w:val="0"/>
      <w:marTop w:val="0"/>
      <w:marBottom w:val="0"/>
      <w:divBdr>
        <w:top w:val="none" w:sz="0" w:space="0" w:color="auto"/>
        <w:left w:val="none" w:sz="0" w:space="0" w:color="auto"/>
        <w:bottom w:val="none" w:sz="0" w:space="0" w:color="auto"/>
        <w:right w:val="none" w:sz="0" w:space="0" w:color="auto"/>
      </w:divBdr>
      <w:divsChild>
        <w:div w:id="1315186527">
          <w:marLeft w:val="0"/>
          <w:marRight w:val="0"/>
          <w:marTop w:val="0"/>
          <w:marBottom w:val="0"/>
          <w:divBdr>
            <w:top w:val="none" w:sz="0" w:space="0" w:color="auto"/>
            <w:left w:val="none" w:sz="0" w:space="0" w:color="auto"/>
            <w:bottom w:val="none" w:sz="0" w:space="0" w:color="auto"/>
            <w:right w:val="none" w:sz="0" w:space="0" w:color="auto"/>
          </w:divBdr>
        </w:div>
      </w:divsChild>
    </w:div>
    <w:div w:id="1699501388">
      <w:bodyDiv w:val="1"/>
      <w:marLeft w:val="0"/>
      <w:marRight w:val="0"/>
      <w:marTop w:val="0"/>
      <w:marBottom w:val="0"/>
      <w:divBdr>
        <w:top w:val="none" w:sz="0" w:space="0" w:color="auto"/>
        <w:left w:val="none" w:sz="0" w:space="0" w:color="auto"/>
        <w:bottom w:val="none" w:sz="0" w:space="0" w:color="auto"/>
        <w:right w:val="none" w:sz="0" w:space="0" w:color="auto"/>
      </w:divBdr>
      <w:divsChild>
        <w:div w:id="744037894">
          <w:marLeft w:val="0"/>
          <w:marRight w:val="0"/>
          <w:marTop w:val="0"/>
          <w:marBottom w:val="450"/>
          <w:divBdr>
            <w:top w:val="none" w:sz="0" w:space="0" w:color="auto"/>
            <w:left w:val="none" w:sz="0" w:space="0" w:color="auto"/>
            <w:bottom w:val="none" w:sz="0" w:space="0" w:color="auto"/>
            <w:right w:val="none" w:sz="0" w:space="0" w:color="auto"/>
          </w:divBdr>
        </w:div>
      </w:divsChild>
    </w:div>
    <w:div w:id="1756171469">
      <w:bodyDiv w:val="1"/>
      <w:marLeft w:val="0"/>
      <w:marRight w:val="0"/>
      <w:marTop w:val="0"/>
      <w:marBottom w:val="0"/>
      <w:divBdr>
        <w:top w:val="none" w:sz="0" w:space="0" w:color="auto"/>
        <w:left w:val="none" w:sz="0" w:space="0" w:color="auto"/>
        <w:bottom w:val="none" w:sz="0" w:space="0" w:color="auto"/>
        <w:right w:val="none" w:sz="0" w:space="0" w:color="auto"/>
      </w:divBdr>
    </w:div>
    <w:div w:id="2020157534">
      <w:bodyDiv w:val="1"/>
      <w:marLeft w:val="0"/>
      <w:marRight w:val="0"/>
      <w:marTop w:val="0"/>
      <w:marBottom w:val="0"/>
      <w:divBdr>
        <w:top w:val="none" w:sz="0" w:space="0" w:color="auto"/>
        <w:left w:val="none" w:sz="0" w:space="0" w:color="auto"/>
        <w:bottom w:val="none" w:sz="0" w:space="0" w:color="auto"/>
        <w:right w:val="none" w:sz="0" w:space="0" w:color="auto"/>
      </w:divBdr>
    </w:div>
    <w:div w:id="20627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dboulevard.net/toolkits/tdmtoolkit" TargetMode="External"/><Relationship Id="rId3" Type="http://schemas.openxmlformats.org/officeDocument/2006/relationships/settings" Target="settings.xml"/><Relationship Id="rId7" Type="http://schemas.openxmlformats.org/officeDocument/2006/relationships/hyperlink" Target="https://transweb.sjsu.edu/sites/default/files/1898-San-Mateo-County-Housing-Mobility-Toolk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forallsmc.org/housing-mobility-toolk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Rosendahl</dc:creator>
  <cp:keywords/>
  <dc:description/>
  <cp:lastModifiedBy>Sarah Rosendahl</cp:lastModifiedBy>
  <cp:revision>2</cp:revision>
  <cp:lastPrinted>2019-04-18T13:30:00Z</cp:lastPrinted>
  <dcterms:created xsi:type="dcterms:W3CDTF">2019-05-15T01:13:00Z</dcterms:created>
  <dcterms:modified xsi:type="dcterms:W3CDTF">2019-05-15T01:13:00Z</dcterms:modified>
</cp:coreProperties>
</file>